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诗城好法官</w:t>
      </w:r>
    </w:p>
    <w:p>
      <w:pPr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315595</wp:posOffset>
            </wp:positionV>
            <wp:extent cx="1798955" cy="2616200"/>
            <wp:effectExtent l="0" t="0" r="10795" b="12700"/>
            <wp:wrapTopAndBottom/>
            <wp:docPr id="1" name="图片 1" descr="周忠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周忠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周忠富，花山区法院职工。自2006年5月从事未成年人刑事审判工作以来，周忠富同志数年如一日，默默奉献，将自己的全部精力投入到此项工作之中。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他积极探索、大胆实践，扎实推进“社会调查员”、“圆桌审判”、“缓刑担保”、“社区矫正联系点”、“分案审理”、</w:t>
      </w:r>
      <w:r>
        <w:rPr>
          <w:rFonts w:hint="eastAsia" w:ascii="仿宋" w:hAnsi="仿宋" w:eastAsia="仿宋" w:cs="仿宋"/>
          <w:sz w:val="32"/>
          <w:szCs w:val="32"/>
        </w:rPr>
        <w:t>“心理疏导”等工作机制，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这些创新举措走在了全市乃至全省法院系统的前列，受到上级法院和有关方面的高度评价。他在</w:t>
      </w:r>
      <w:r>
        <w:rPr>
          <w:rFonts w:hint="eastAsia" w:ascii="仿宋" w:hAnsi="仿宋" w:eastAsia="仿宋" w:cs="仿宋"/>
          <w:sz w:val="32"/>
          <w:szCs w:val="32"/>
        </w:rPr>
        <w:t>审理未成年人刑事案件，做好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教育、感化、挽救工作</w:t>
      </w:r>
      <w:r>
        <w:rPr>
          <w:rFonts w:hint="eastAsia" w:ascii="仿宋" w:hAnsi="仿宋" w:eastAsia="仿宋" w:cs="仿宋"/>
          <w:sz w:val="32"/>
          <w:szCs w:val="32"/>
        </w:rPr>
        <w:t>的同时，着力做好青少年法制宣传教育工作。从小学、中学到各类职业学校，从社区、乡村到军营，到处留下他的身影。被钢城百姓称为“义务法制宣传员”和“倾情引路人”。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91A1E39"/>
    <w:rsid w:val="491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2023-02-06T07:14:00Z</dcterms:created>
  <dc:creator>Administrator</dc:creator>
  <cp:lastModifiedBy>Administrator</cp:lastModifiedBy>
  <dcterms:modified xsi:type="dcterms:W3CDTF">2023-02-06T07:16:37Z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1A81CE11253B468293323D006354AF16</vt:lpwstr>
  </property>
</Properties>
</file>